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Unit Plan</w:t>
      </w:r>
    </w:p>
    <w:p>
      <w:pPr>
        <w:spacing w:after="200"/>
      </w:pPr>
      <w:r>
        <w:rPr>
          <w:i/>
          <w:color w:val="555555"/>
        </w:rPr>
        <w:t xml:space="preserve">Plan the whole unit first: what students will learn, how you'll know, and the lessons in order.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Teacher: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Subject: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Unit: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Grade: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Length: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Dates: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What students will learn</w:t>
      </w:r>
    </w:p>
    <w:p>
      <w:pPr>
        <w:keepNext/>
        <w:spacing w:before="160" w:after="0"/>
      </w:pPr>
      <w:r>
        <w:rPr>
          <w:b/>
        </w:rPr>
        <w:t xml:space="preserve">Big idea:</w:t>
      </w:r>
      <w:r>
        <w:rPr>
          <w:i/>
          <w:color w:val="666666"/>
        </w:rPr>
        <w:t xml:space="preserve"> What students should remember after the unit.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Essential questions: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Standards: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Learning objectives:</w:t>
      </w:r>
      <w:r>
        <w:rPr>
          <w:i/>
          <w:color w:val="666666"/>
        </w:rPr>
        <w:t xml:space="preserve"> Students will be able to…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Key vocabulary: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Assessment</w:t>
      </w:r>
    </w:p>
    <w:p>
      <w:pPr>
        <w:keepNext/>
        <w:spacing w:before="160" w:after="0"/>
      </w:pPr>
      <w:r>
        <w:rPr>
          <w:b/>
        </w:rPr>
        <w:t xml:space="preserve">Final assessment:</w:t>
      </w:r>
      <w:r>
        <w:rPr>
          <w:i/>
          <w:color w:val="666666"/>
        </w:rPr>
        <w:t xml:space="preserve"> The test, project or performance task at the end, and how it's scored.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Checks along the way:</w:t>
      </w:r>
      <w:r>
        <w:rPr>
          <w:i/>
          <w:color w:val="666666"/>
        </w:rPr>
        <w:t xml:space="preserve"> Quizzes, exit tickets, drafts.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Lesson sequence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1109"/>
        <w:gridCol w:w="3024"/>
        <w:gridCol w:w="3629"/>
        <w:gridCol w:w="2318"/>
      </w:tblGrid>
      <w:tr>
        <w:trPr>
          <w:cantSplit/>
          <w:tblHeader/>
        </w:trPr>
        <w:tc>
          <w:tcPr>
            <w:tcW w:w="1109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Lesson</w:t>
            </w:r>
          </w:p>
        </w:tc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Objective</w:t>
            </w:r>
          </w:p>
        </w:tc>
        <w:tc>
          <w:tcPr>
            <w:tcW w:w="3629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Main activities</w:t>
            </w:r>
          </w:p>
        </w:tc>
        <w:tc>
          <w:tcPr>
            <w:tcW w:w="231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Check for understanding</w:t>
            </w: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4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5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6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7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8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9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40" w:hRule="atLeast"/>
        </w:trPr>
        <w:tc>
          <w:tcPr>
            <w:tcW w:w="1109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10</w:t>
            </w: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3629" w:type="dxa"/>
            <w:vAlign w:val="bottom"/>
          </w:tcPr>
          <w:p>
            <w:pPr>
              <w:spacing w:after="0"/>
            </w:pPr>
          </w:p>
        </w:tc>
        <w:tc>
          <w:tcPr>
            <w:tcW w:w="2318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Materials and differentiation</w:t>
      </w:r>
    </w:p>
    <w:p>
      <w:pPr>
        <w:keepNext/>
        <w:spacing w:before="160" w:after="0"/>
      </w:pPr>
      <w:r>
        <w:rPr>
          <w:b/>
        </w:rPr>
        <w:t xml:space="preserve">Materials and resources: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Support, multilingual learners and extension: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After the unit</w:t>
      </w:r>
    </w:p>
    <w:p>
      <w:pPr>
        <w:keepNext/>
        <w:spacing w:before="160" w:after="0"/>
      </w:pPr>
      <w:r>
        <w:rPr>
          <w:b/>
        </w:rPr>
        <w:t xml:space="preserve">What worked, and what will I change next time?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Unit plan · Free template from Flint · flintk12.com/tools/lesson-plan-template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Unit Plan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